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98EAB" w14:textId="77777777" w:rsidR="007B3880" w:rsidRDefault="00000000">
      <w:pPr>
        <w:ind w:firstLine="0"/>
        <w:rPr>
          <w:rFonts w:hint="eastAsia"/>
          <w:lang w:eastAsia="zh-CN"/>
        </w:rPr>
      </w:pPr>
      <w:r>
        <w:rPr>
          <w:rFonts w:ascii="黑体" w:eastAsia="黑体" w:hAnsi="黑体"/>
          <w:sz w:val="28"/>
          <w:lang w:eastAsia="zh-CN"/>
        </w:rPr>
        <w:t>附件1</w:t>
      </w:r>
    </w:p>
    <w:p w14:paraId="427F3A37" w14:textId="7B8EDF20" w:rsidR="00EB285D" w:rsidRDefault="00EB285D">
      <w:pPr>
        <w:spacing w:after="360"/>
        <w:ind w:firstLine="0"/>
        <w:jc w:val="center"/>
        <w:rPr>
          <w:rFonts w:ascii="黑体" w:eastAsia="黑体" w:hAnsi="黑体"/>
          <w:b/>
          <w:sz w:val="44"/>
          <w:lang w:eastAsia="zh-CN"/>
        </w:rPr>
      </w:pPr>
      <w:r>
        <w:rPr>
          <w:rFonts w:ascii="黑体" w:eastAsia="黑体" w:hAnsi="黑体"/>
          <w:b/>
          <w:sz w:val="44"/>
          <w:lang w:eastAsia="zh-CN"/>
        </w:rPr>
        <w:t xml:space="preserve"> </w:t>
      </w:r>
      <w:r w:rsidR="00000000">
        <w:rPr>
          <w:rFonts w:ascii="黑体" w:eastAsia="黑体" w:hAnsi="黑体"/>
          <w:b/>
          <w:sz w:val="44"/>
          <w:lang w:eastAsia="zh-CN"/>
        </w:rPr>
        <w:t>“葛文勋-罕王科技教育奖”</w:t>
      </w:r>
    </w:p>
    <w:p w14:paraId="3A92FD61" w14:textId="1F6A0CF1" w:rsidR="007B3880" w:rsidRDefault="00000000">
      <w:pPr>
        <w:spacing w:after="360"/>
        <w:ind w:firstLine="0"/>
        <w:jc w:val="center"/>
        <w:rPr>
          <w:rFonts w:hint="eastAsia"/>
          <w:lang w:eastAsia="zh-CN"/>
        </w:rPr>
      </w:pPr>
      <w:r>
        <w:rPr>
          <w:rFonts w:ascii="黑体" w:eastAsia="黑体" w:hAnsi="黑体"/>
          <w:b/>
          <w:sz w:val="44"/>
          <w:lang w:eastAsia="zh-CN"/>
        </w:rPr>
        <w:t>评奖细则</w:t>
      </w:r>
    </w:p>
    <w:p w14:paraId="340F421D" w14:textId="77777777" w:rsidR="007B3880" w:rsidRDefault="00000000" w:rsidP="00EB285D">
      <w:pPr>
        <w:spacing w:before="200" w:after="120"/>
        <w:ind w:firstLine="0"/>
        <w:jc w:val="center"/>
        <w:rPr>
          <w:rFonts w:hint="eastAsia"/>
          <w:lang w:eastAsia="zh-CN"/>
        </w:rPr>
      </w:pPr>
      <w:r>
        <w:rPr>
          <w:rFonts w:ascii="黑体" w:eastAsia="黑体" w:hAnsi="黑体"/>
          <w:b/>
          <w:lang w:eastAsia="zh-CN"/>
        </w:rPr>
        <w:t>一、总则</w:t>
      </w:r>
    </w:p>
    <w:p w14:paraId="48681E23" w14:textId="101EFF1E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第一条  本细则是</w:t>
      </w:r>
      <w:proofErr w:type="gramEnd"/>
      <w:r>
        <w:rPr>
          <w:lang w:eastAsia="zh-CN"/>
        </w:rPr>
        <w:t>“葛文勋-罕王科技教育奖”（以下简称本奖）评选工作的基本依据。本奖是面向全国微纳制造、智能制造领域优秀人才的高层次专业奖项，</w:t>
      </w:r>
      <w:bookmarkStart w:id="0" w:name="OLE_LINK12"/>
      <w:r>
        <w:rPr>
          <w:lang w:eastAsia="zh-CN"/>
        </w:rPr>
        <w:t>由</w:t>
      </w:r>
      <w:r w:rsidR="00EB285D">
        <w:rPr>
          <w:rFonts w:hint="eastAsia"/>
          <w:lang w:eastAsia="zh-CN"/>
        </w:rPr>
        <w:t>厦门大学智能制造学院（萨本栋微米纳米科学技术研究院）倡议发起、</w:t>
      </w:r>
      <w:bookmarkEnd w:id="0"/>
      <w:r>
        <w:rPr>
          <w:rFonts w:hint="eastAsia"/>
          <w:lang w:eastAsia="zh-CN"/>
        </w:rPr>
        <w:t>罕王实业集团有限公司捐资支持</w:t>
      </w:r>
      <w:r>
        <w:rPr>
          <w:lang w:eastAsia="zh-CN"/>
        </w:rPr>
        <w:t>。</w:t>
      </w:r>
    </w:p>
    <w:p w14:paraId="5D59091E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二</w:t>
      </w:r>
      <w:r>
        <w:rPr>
          <w:lang w:eastAsia="zh-CN"/>
        </w:rPr>
        <w:t>条  本奖每年评选一次</w:t>
      </w:r>
      <w:proofErr w:type="gramEnd"/>
      <w:r>
        <w:rPr>
          <w:lang w:eastAsia="zh-CN"/>
        </w:rPr>
        <w:t>。届时由评选委员会向各有关单位发出通知，并通过媒体向社会公告。</w:t>
      </w:r>
    </w:p>
    <w:p w14:paraId="3BBFAD06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三</w:t>
      </w:r>
      <w:r>
        <w:rPr>
          <w:lang w:eastAsia="zh-CN"/>
        </w:rPr>
        <w:t>条  本奖设两个奖项</w:t>
      </w:r>
      <w:proofErr w:type="gramEnd"/>
      <w:r>
        <w:rPr>
          <w:lang w:eastAsia="zh-CN"/>
        </w:rPr>
        <w:t>：“葛文勋-罕王科技教育成就奖”（以下简称成就奖）、“葛文勋-罕王科技教育青年奖”（以下简称青年奖）。成就奖一人只能获得一次，并作为终身荣誉。</w:t>
      </w:r>
    </w:p>
    <w:p w14:paraId="435D92F3" w14:textId="77777777" w:rsidR="007B3880" w:rsidRDefault="00000000" w:rsidP="006E0A46">
      <w:pPr>
        <w:spacing w:before="200" w:after="120"/>
        <w:ind w:firstLine="0"/>
        <w:jc w:val="center"/>
        <w:rPr>
          <w:rFonts w:hint="eastAsia"/>
          <w:lang w:eastAsia="zh-CN"/>
        </w:rPr>
      </w:pPr>
      <w:r>
        <w:rPr>
          <w:rFonts w:ascii="黑体" w:eastAsia="黑体" w:hAnsi="黑体"/>
          <w:b/>
          <w:lang w:eastAsia="zh-CN"/>
        </w:rPr>
        <w:t>二、奖励对象与奖项设置</w:t>
      </w:r>
    </w:p>
    <w:p w14:paraId="77DB50F6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四</w:t>
      </w:r>
      <w:r>
        <w:rPr>
          <w:lang w:eastAsia="zh-CN"/>
        </w:rPr>
        <w:t>条  本奖奖励对象应符合下列条件</w:t>
      </w:r>
      <w:proofErr w:type="gramEnd"/>
      <w:r>
        <w:rPr>
          <w:lang w:eastAsia="zh-CN"/>
        </w:rPr>
        <w:t>：</w:t>
      </w:r>
    </w:p>
    <w:p w14:paraId="33BDE1A8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（一）热爱祖国，遵纪守法，拥护党的路线方针政策，具有科学精神，学风正派；</w:t>
      </w:r>
    </w:p>
    <w:p w14:paraId="1686C047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lastRenderedPageBreak/>
        <w:t>（二）从事微纳制造与传感技术、智能制造技术与装备、智能科学仪器等相关领域的科技、教育或工程工作；</w:t>
      </w:r>
    </w:p>
    <w:p w14:paraId="4A8B19E4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（三）在国内外同行业中有重要影响。</w:t>
      </w:r>
    </w:p>
    <w:p w14:paraId="556D1F36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五</w:t>
      </w:r>
      <w:r>
        <w:rPr>
          <w:lang w:eastAsia="zh-CN"/>
        </w:rPr>
        <w:t>条  奖项设置</w:t>
      </w:r>
      <w:proofErr w:type="gramEnd"/>
      <w:r>
        <w:rPr>
          <w:lang w:eastAsia="zh-CN"/>
        </w:rPr>
        <w:t>：</w:t>
      </w:r>
    </w:p>
    <w:p w14:paraId="56533D39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（一）成就奖：授予长期致力于微纳制造、智能制造事业，作出卓越贡献，取得原创性、引领性重大科研突破的专家。每届评选不超过1人，奖金人民币30万元/人（税前）。</w:t>
      </w:r>
    </w:p>
    <w:p w14:paraId="52608F0B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（二）青年奖：授予在微纳制造、智能制造领域作出突出贡献，展现突出学术潜力与创新能力的青年专家。每届评选不超过2人，各奖金人民币10万元/人（税前）。</w:t>
      </w:r>
    </w:p>
    <w:p w14:paraId="5D5C82F1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评选委员会可根据基金财务状况，对评选名额及奖金额度作必要调整，调整情况将在当年发布的候选人征集公告中予以说明。</w:t>
      </w:r>
    </w:p>
    <w:p w14:paraId="4118519C" w14:textId="77777777" w:rsidR="007B3880" w:rsidRDefault="00000000" w:rsidP="006E0A46">
      <w:pPr>
        <w:spacing w:before="200" w:after="120"/>
        <w:ind w:firstLine="0"/>
        <w:jc w:val="center"/>
        <w:rPr>
          <w:rFonts w:hint="eastAsia"/>
          <w:lang w:eastAsia="zh-CN"/>
        </w:rPr>
      </w:pPr>
      <w:r>
        <w:rPr>
          <w:rFonts w:ascii="黑体" w:eastAsia="黑体" w:hAnsi="黑体"/>
          <w:b/>
          <w:lang w:eastAsia="zh-CN"/>
        </w:rPr>
        <w:t>三、评奖条件</w:t>
      </w:r>
    </w:p>
    <w:p w14:paraId="5CFFA363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六</w:t>
      </w:r>
      <w:r>
        <w:rPr>
          <w:lang w:eastAsia="zh-CN"/>
        </w:rPr>
        <w:t>条  凡符合本细则第五条规定的优秀人才</w:t>
      </w:r>
      <w:proofErr w:type="gramEnd"/>
      <w:r>
        <w:rPr>
          <w:lang w:eastAsia="zh-CN"/>
        </w:rPr>
        <w:t>，均可由符合资格的专家推荐申报本奖。</w:t>
      </w:r>
    </w:p>
    <w:p w14:paraId="562C0560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七</w:t>
      </w:r>
      <w:r>
        <w:rPr>
          <w:lang w:eastAsia="zh-CN"/>
        </w:rPr>
        <w:t>条  成就奖申报人应符合下列条件之一</w:t>
      </w:r>
      <w:proofErr w:type="gramEnd"/>
      <w:r>
        <w:rPr>
          <w:lang w:eastAsia="zh-CN"/>
        </w:rPr>
        <w:t>：</w:t>
      </w:r>
    </w:p>
    <w:p w14:paraId="71D709BD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（一）长期致力于微纳制造、智能制造事业，在该领域取得具有国际重要影响力的原创性学术成果；</w:t>
      </w:r>
    </w:p>
    <w:p w14:paraId="619D9E01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lastRenderedPageBreak/>
        <w:t>（二）通过科学研究和技术创新，在微纳制造、智能制造产业实现转化应用，并具有重大社会经济效益和行业示范价值；</w:t>
      </w:r>
    </w:p>
    <w:p w14:paraId="76C3806D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（三）在微纳制造、智能制造领域提出开创性学术理论、技术方法，推动学科跨越式发展。</w:t>
      </w:r>
    </w:p>
    <w:p w14:paraId="4522BD4C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八</w:t>
      </w:r>
      <w:r>
        <w:rPr>
          <w:lang w:eastAsia="zh-CN"/>
        </w:rPr>
        <w:t>条  青年奖申报人年龄原则上不超过</w:t>
      </w:r>
      <w:proofErr w:type="gramEnd"/>
      <w:r>
        <w:rPr>
          <w:lang w:eastAsia="zh-CN"/>
        </w:rPr>
        <w:t>38周岁（女性申请人可放宽至40周岁，按评奖当年1月1日计算），并应符合下列条件之一：</w:t>
      </w:r>
    </w:p>
    <w:p w14:paraId="60C4F56F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（一）在微纳制造、智能制造领域取得具有重要影响力的原创性学术成果；</w:t>
      </w:r>
    </w:p>
    <w:p w14:paraId="7F088195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（二）通过科学研究和技术创新，在微纳制造、智能制造产业实现转化应用，并具有重大社会经济效益；</w:t>
      </w:r>
    </w:p>
    <w:p w14:paraId="04601E4E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（三）在微纳制造、智能制造领域提出创新性理论和方法。</w:t>
      </w:r>
    </w:p>
    <w:p w14:paraId="76773C79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上述各类奖项条件，符合其中一条者，即可申报本奖。</w:t>
      </w:r>
    </w:p>
    <w:p w14:paraId="5757D941" w14:textId="77777777" w:rsidR="007B3880" w:rsidRDefault="00000000" w:rsidP="006E0A46">
      <w:pPr>
        <w:spacing w:before="200" w:after="120"/>
        <w:ind w:firstLine="0"/>
        <w:jc w:val="center"/>
        <w:rPr>
          <w:rFonts w:hint="eastAsia"/>
          <w:lang w:eastAsia="zh-CN"/>
        </w:rPr>
      </w:pPr>
      <w:r>
        <w:rPr>
          <w:rFonts w:ascii="黑体" w:eastAsia="黑体" w:hAnsi="黑体"/>
          <w:b/>
          <w:lang w:eastAsia="zh-CN"/>
        </w:rPr>
        <w:t>四、申报与推荐</w:t>
      </w:r>
    </w:p>
    <w:p w14:paraId="603670A6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九</w:t>
      </w:r>
      <w:r>
        <w:rPr>
          <w:lang w:eastAsia="zh-CN"/>
        </w:rPr>
        <w:t>条  本奖不接受自荐</w:t>
      </w:r>
      <w:proofErr w:type="gramEnd"/>
      <w:r>
        <w:rPr>
          <w:lang w:eastAsia="zh-CN"/>
        </w:rPr>
        <w:t>。申请人需取得3名教授或教授级专家推荐。推荐专家对同一奖项只能推荐1名候选人，被推荐人不限于本单位人员。</w:t>
      </w:r>
    </w:p>
    <w:p w14:paraId="238C6893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第十条  申报材料包括</w:t>
      </w:r>
      <w:proofErr w:type="gramEnd"/>
      <w:r>
        <w:rPr>
          <w:lang w:eastAsia="zh-CN"/>
        </w:rPr>
        <w:t>：</w:t>
      </w:r>
    </w:p>
    <w:p w14:paraId="5C9481D4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（一）《“葛文勋-罕王科技教育奖”推荐表》（成就奖见附件2，青年奖见附件3）；</w:t>
      </w:r>
    </w:p>
    <w:p w14:paraId="48458538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lastRenderedPageBreak/>
        <w:t>（二）《“葛文勋-罕王科技教育奖”候选人基本情况表》（成就奖见附件4，青年奖见附件5）；</w:t>
      </w:r>
    </w:p>
    <w:p w14:paraId="2E14A211" w14:textId="77777777" w:rsidR="007B3880" w:rsidRDefault="00000000">
      <w:pPr>
        <w:spacing w:after="120"/>
        <w:rPr>
          <w:rFonts w:hint="eastAsia"/>
          <w:lang w:eastAsia="zh-CN"/>
        </w:rPr>
      </w:pPr>
      <w:r>
        <w:rPr>
          <w:lang w:eastAsia="zh-CN"/>
        </w:rPr>
        <w:t>（三）必要附件：基本情况表所列代表性成果及其他重要证明文件。</w:t>
      </w:r>
    </w:p>
    <w:p w14:paraId="689A2F27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第十</w:t>
      </w:r>
      <w:r>
        <w:rPr>
          <w:rFonts w:hint="eastAsia"/>
          <w:lang w:eastAsia="zh-CN"/>
        </w:rPr>
        <w:t>一</w:t>
      </w:r>
      <w:r>
        <w:rPr>
          <w:lang w:eastAsia="zh-CN"/>
        </w:rPr>
        <w:t>条  材料报送仅接受电子版</w:t>
      </w:r>
      <w:proofErr w:type="gramEnd"/>
      <w:r>
        <w:rPr>
          <w:lang w:eastAsia="zh-CN"/>
        </w:rPr>
        <w:t>。其中《推荐表》需提交推荐专家签名的PDF版本，具体要求与受理截止日期以当年发布的候选人征集公告为准。</w:t>
      </w:r>
    </w:p>
    <w:p w14:paraId="7E0FE838" w14:textId="77777777" w:rsidR="007B3880" w:rsidRDefault="00000000" w:rsidP="006E0A46">
      <w:pPr>
        <w:spacing w:before="200" w:after="120"/>
        <w:ind w:firstLine="0"/>
        <w:jc w:val="center"/>
        <w:rPr>
          <w:rFonts w:hint="eastAsia"/>
          <w:lang w:eastAsia="zh-CN"/>
        </w:rPr>
      </w:pPr>
      <w:r>
        <w:rPr>
          <w:rFonts w:ascii="黑体" w:eastAsia="黑体" w:hAnsi="黑体"/>
          <w:b/>
          <w:lang w:eastAsia="zh-CN"/>
        </w:rPr>
        <w:t>五、评选程序与办法</w:t>
      </w:r>
    </w:p>
    <w:p w14:paraId="434CB29E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第十</w:t>
      </w:r>
      <w:r>
        <w:rPr>
          <w:rFonts w:hint="eastAsia"/>
          <w:lang w:eastAsia="zh-CN"/>
        </w:rPr>
        <w:t>二</w:t>
      </w:r>
      <w:r>
        <w:rPr>
          <w:lang w:eastAsia="zh-CN"/>
        </w:rPr>
        <w:t>条  本奖遵循</w:t>
      </w:r>
      <w:proofErr w:type="gramEnd"/>
      <w:r>
        <w:rPr>
          <w:lang w:eastAsia="zh-CN"/>
        </w:rPr>
        <w:t>“公平、公开、公正”原则，按照“申报、资格认定、初评、终评、颁奖”的程序进行。</w:t>
      </w:r>
    </w:p>
    <w:p w14:paraId="706D1E0E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第十</w:t>
      </w:r>
      <w:r>
        <w:rPr>
          <w:rFonts w:hint="eastAsia"/>
          <w:lang w:eastAsia="zh-CN"/>
        </w:rPr>
        <w:t>三</w:t>
      </w:r>
      <w:r>
        <w:rPr>
          <w:lang w:eastAsia="zh-CN"/>
        </w:rPr>
        <w:t>条  资格认定</w:t>
      </w:r>
      <w:proofErr w:type="gramEnd"/>
      <w:r>
        <w:rPr>
          <w:lang w:eastAsia="zh-CN"/>
        </w:rPr>
        <w:t>：评选委员会秘书处对申报材料进行登记、核对与资格认定。</w:t>
      </w:r>
    </w:p>
    <w:p w14:paraId="2526E3F1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第十</w:t>
      </w:r>
      <w:r>
        <w:rPr>
          <w:rFonts w:hint="eastAsia"/>
          <w:lang w:eastAsia="zh-CN"/>
        </w:rPr>
        <w:t>四</w:t>
      </w:r>
      <w:r>
        <w:rPr>
          <w:lang w:eastAsia="zh-CN"/>
        </w:rPr>
        <w:t>条  初评</w:t>
      </w:r>
      <w:proofErr w:type="gramEnd"/>
      <w:r>
        <w:rPr>
          <w:lang w:eastAsia="zh-CN"/>
        </w:rPr>
        <w:t>：评选委员会负责对所有候选人进行初评，提出获奖候选人名单。</w:t>
      </w:r>
    </w:p>
    <w:p w14:paraId="60035AE8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第十</w:t>
      </w:r>
      <w:r>
        <w:rPr>
          <w:rFonts w:hint="eastAsia"/>
          <w:lang w:eastAsia="zh-CN"/>
        </w:rPr>
        <w:t>五</w:t>
      </w:r>
      <w:r>
        <w:rPr>
          <w:lang w:eastAsia="zh-CN"/>
        </w:rPr>
        <w:t>条  终评</w:t>
      </w:r>
      <w:proofErr w:type="gramEnd"/>
      <w:r>
        <w:rPr>
          <w:lang w:eastAsia="zh-CN"/>
        </w:rPr>
        <w:t>：委托中国机械工程学会聘任的专家组负责本奖终评工作。通过初评的候选人，须按要求提交8分钟多媒体介绍材料（具体另行通知）用于终评。</w:t>
      </w:r>
    </w:p>
    <w:p w14:paraId="7BC3659F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第十</w:t>
      </w:r>
      <w:r>
        <w:rPr>
          <w:rFonts w:hint="eastAsia"/>
          <w:lang w:eastAsia="zh-CN"/>
        </w:rPr>
        <w:t>六</w:t>
      </w:r>
      <w:r>
        <w:rPr>
          <w:lang w:eastAsia="zh-CN"/>
        </w:rPr>
        <w:t>条  公示与确定</w:t>
      </w:r>
      <w:proofErr w:type="gramEnd"/>
      <w:r>
        <w:rPr>
          <w:lang w:eastAsia="zh-CN"/>
        </w:rPr>
        <w:t>：终评确定的拟获奖人公示十个工作日，若无异议即</w:t>
      </w:r>
      <w:r>
        <w:rPr>
          <w:rFonts w:hint="eastAsia"/>
          <w:lang w:eastAsia="zh-CN"/>
        </w:rPr>
        <w:t>获奖</w:t>
      </w:r>
      <w:r>
        <w:rPr>
          <w:lang w:eastAsia="zh-CN"/>
        </w:rPr>
        <w:t>；如有异议需进一步调查核实的，留待下次评奖时复议。</w:t>
      </w:r>
    </w:p>
    <w:p w14:paraId="121E81D2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lastRenderedPageBreak/>
        <w:t>第十</w:t>
      </w:r>
      <w:r>
        <w:rPr>
          <w:rFonts w:hint="eastAsia"/>
          <w:lang w:eastAsia="zh-CN"/>
        </w:rPr>
        <w:t>七</w:t>
      </w:r>
      <w:r>
        <w:rPr>
          <w:lang w:eastAsia="zh-CN"/>
        </w:rPr>
        <w:t>条  颁奖</w:t>
      </w:r>
      <w:proofErr w:type="gramEnd"/>
      <w:r>
        <w:rPr>
          <w:lang w:eastAsia="zh-CN"/>
        </w:rPr>
        <w:t>：举行颁奖仪式，颁发获奖证书、奖金。</w:t>
      </w:r>
    </w:p>
    <w:p w14:paraId="37670EE9" w14:textId="77777777" w:rsidR="007B3880" w:rsidRDefault="00000000" w:rsidP="006E0A46">
      <w:pPr>
        <w:spacing w:before="200" w:after="120"/>
        <w:ind w:firstLine="0"/>
        <w:jc w:val="center"/>
        <w:rPr>
          <w:rFonts w:hint="eastAsia"/>
          <w:lang w:eastAsia="zh-CN"/>
        </w:rPr>
      </w:pPr>
      <w:r>
        <w:rPr>
          <w:rFonts w:ascii="黑体" w:eastAsia="黑体" w:hAnsi="黑体" w:hint="eastAsia"/>
          <w:b/>
          <w:lang w:eastAsia="zh-CN"/>
        </w:rPr>
        <w:t>六</w:t>
      </w:r>
      <w:r>
        <w:rPr>
          <w:rFonts w:ascii="黑体" w:eastAsia="黑体" w:hAnsi="黑体"/>
          <w:b/>
          <w:lang w:eastAsia="zh-CN"/>
        </w:rPr>
        <w:t>、附则</w:t>
      </w:r>
    </w:p>
    <w:p w14:paraId="07B3CE46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十八</w:t>
      </w:r>
      <w:r>
        <w:rPr>
          <w:lang w:eastAsia="zh-CN"/>
        </w:rPr>
        <w:t>条  本细则的修改</w:t>
      </w:r>
      <w:proofErr w:type="gramEnd"/>
      <w:r>
        <w:rPr>
          <w:lang w:eastAsia="zh-CN"/>
        </w:rPr>
        <w:t>、解释权属“葛文勋-罕王科技教育奖”评选委员会；若与国家法律、法规和政策相抵触，以国家法律、法规和政策为准。</w:t>
      </w:r>
    </w:p>
    <w:p w14:paraId="17FD0DCD" w14:textId="77777777" w:rsidR="007B3880" w:rsidRDefault="00000000">
      <w:pPr>
        <w:spacing w:after="120"/>
        <w:rPr>
          <w:rFonts w:hint="eastAsia"/>
          <w:lang w:eastAsia="zh-CN"/>
        </w:rPr>
      </w:pPr>
      <w:proofErr w:type="gramStart"/>
      <w:r>
        <w:rPr>
          <w:lang w:eastAsia="zh-CN"/>
        </w:rPr>
        <w:t>第</w:t>
      </w:r>
      <w:r>
        <w:rPr>
          <w:rFonts w:hint="eastAsia"/>
          <w:lang w:eastAsia="zh-CN"/>
        </w:rPr>
        <w:t>十九</w:t>
      </w:r>
      <w:r>
        <w:rPr>
          <w:lang w:eastAsia="zh-CN"/>
        </w:rPr>
        <w:t>条  本细则自发布之日起施行</w:t>
      </w:r>
      <w:proofErr w:type="gramEnd"/>
      <w:r>
        <w:rPr>
          <w:lang w:eastAsia="zh-CN"/>
        </w:rPr>
        <w:t>。</w:t>
      </w:r>
    </w:p>
    <w:p w14:paraId="6207380E" w14:textId="77777777" w:rsidR="007B3880" w:rsidRDefault="007B3880">
      <w:pPr>
        <w:spacing w:after="120"/>
        <w:rPr>
          <w:rFonts w:hint="eastAsia"/>
          <w:lang w:eastAsia="zh-CN"/>
        </w:rPr>
      </w:pPr>
    </w:p>
    <w:p w14:paraId="49FE4EF9" w14:textId="77777777" w:rsidR="007B3880" w:rsidRDefault="00000000">
      <w:pPr>
        <w:spacing w:after="120"/>
        <w:jc w:val="right"/>
        <w:rPr>
          <w:rFonts w:hint="eastAsia"/>
          <w:lang w:eastAsia="zh-CN"/>
        </w:rPr>
      </w:pPr>
      <w:r>
        <w:rPr>
          <w:lang w:eastAsia="zh-CN"/>
        </w:rPr>
        <w:t>“葛文勋-罕王科技教育奖”评选委员会</w:t>
      </w:r>
    </w:p>
    <w:p w14:paraId="3C2870C9" w14:textId="0B493FF0" w:rsidR="007B3880" w:rsidRDefault="00000000" w:rsidP="006E0A46">
      <w:pPr>
        <w:wordWrap w:val="0"/>
        <w:spacing w:after="120"/>
        <w:jc w:val="right"/>
        <w:rPr>
          <w:rFonts w:hint="eastAsia"/>
          <w:lang w:eastAsia="zh-CN"/>
        </w:rPr>
      </w:pPr>
      <w:r>
        <w:rPr>
          <w:rFonts w:hint="eastAsia"/>
          <w:lang w:eastAsia="zh-CN"/>
        </w:rPr>
        <w:t>2026年10月17日</w:t>
      </w:r>
      <w:r w:rsidR="006E0A46">
        <w:rPr>
          <w:rFonts w:hint="eastAsia"/>
          <w:lang w:eastAsia="zh-CN"/>
        </w:rPr>
        <w:t xml:space="preserve">     </w:t>
      </w:r>
    </w:p>
    <w:sectPr w:rsidR="007B3880">
      <w:pgSz w:w="11906" w:h="16838"/>
      <w:pgMar w:top="2098" w:right="1474" w:bottom="1984" w:left="158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C0592" w14:textId="77777777" w:rsidR="00B14FA5" w:rsidRDefault="00B14FA5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01CBFEF" w14:textId="77777777" w:rsidR="00B14FA5" w:rsidRDefault="00B14FA5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BC20FF78-0278-4825-85B2-27AE014BFD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C34BE625-B561-45B8-B208-95325FC54EC4}"/>
    <w:embedBold r:id="rId3" w:subsetted="1" w:fontKey="{9638B1D0-3D7D-42CE-BBF2-C480EA3A286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FC9A8" w14:textId="77777777" w:rsidR="00B14FA5" w:rsidRDefault="00B14FA5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A9EC049" w14:textId="77777777" w:rsidR="00B14FA5" w:rsidRDefault="00B14FA5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956642053">
    <w:abstractNumId w:val="1"/>
  </w:num>
  <w:num w:numId="2" w16cid:durableId="1787115110">
    <w:abstractNumId w:val="4"/>
  </w:num>
  <w:num w:numId="3" w16cid:durableId="1983004527">
    <w:abstractNumId w:val="5"/>
  </w:num>
  <w:num w:numId="4" w16cid:durableId="1103458571">
    <w:abstractNumId w:val="2"/>
  </w:num>
  <w:num w:numId="5" w16cid:durableId="1057247106">
    <w:abstractNumId w:val="0"/>
  </w:num>
  <w:num w:numId="6" w16cid:durableId="1851029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FB2"/>
    <w:rsid w:val="0006063C"/>
    <w:rsid w:val="0015074B"/>
    <w:rsid w:val="0029639D"/>
    <w:rsid w:val="002C2399"/>
    <w:rsid w:val="00326F90"/>
    <w:rsid w:val="006E0A46"/>
    <w:rsid w:val="007B3880"/>
    <w:rsid w:val="008E38A9"/>
    <w:rsid w:val="00AA1D8D"/>
    <w:rsid w:val="00B14FA5"/>
    <w:rsid w:val="00B47730"/>
    <w:rsid w:val="00CB0664"/>
    <w:rsid w:val="00EB285D"/>
    <w:rsid w:val="00FC693F"/>
    <w:rsid w:val="09396A79"/>
    <w:rsid w:val="137E0CDB"/>
    <w:rsid w:val="16315AB4"/>
    <w:rsid w:val="346A40AD"/>
    <w:rsid w:val="38DE25BB"/>
    <w:rsid w:val="47574ED5"/>
    <w:rsid w:val="53450001"/>
    <w:rsid w:val="6A550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40570EA"/>
  <w14:defaultImageDpi w14:val="300"/>
  <w15:docId w15:val="{7B3853F9-121C-4A1A-BF5C-0C5D0913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 w:qFormat="1"/>
    <w:lsdException w:name="toa heading" w:semiHidden="1" w:unhideWhenUsed="1"/>
    <w:lsdException w:name="List" w:unhideWhenUsed="1" w:qFormat="1"/>
    <w:lsdException w:name="List Bullet" w:unhideWhenUsed="1" w:qFormat="1"/>
    <w:lsdException w:name="List Number" w:unhideWhenUsed="1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nhideWhenUsed="1" w:qFormat="1"/>
    <w:lsdException w:name="List Bullet 3" w:unhideWhenUsed="1" w:qFormat="1"/>
    <w:lsdException w:name="List Bullet 4" w:semiHidden="1" w:unhideWhenUsed="1"/>
    <w:lsdException w:name="List Bullet 5" w:semiHidden="1" w:unhideWhenUsed="1"/>
    <w:lsdException w:name="List Number 2" w:unhideWhenUsed="1" w:qFormat="1"/>
    <w:lsdException w:name="List Number 3" w:unhideWhenUsed="1" w:qFormat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unhideWhenUsed="1" w:qFormat="1"/>
    <w:lsdException w:name="List Continue 2" w:unhideWhenUsed="1" w:qFormat="1"/>
    <w:lsdException w:name="List Continue 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 w:qFormat="1"/>
    <w:lsdException w:name="Medium Grid 2" w:uiPriority="68" w:qFormat="1"/>
    <w:lsdException w:name="Medium Grid 3" w:uiPriority="69" w:qFormat="1"/>
    <w:lsdException w:name="Dark List" w:uiPriority="70" w:qFormat="1"/>
    <w:lsdException w:name="Colorful Shading" w:uiPriority="71" w:qFormat="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 w:qFormat="1"/>
    <w:lsdException w:name="Medium Grid 1 Accent 1" w:uiPriority="67" w:qFormat="1"/>
    <w:lsdException w:name="Medium Grid 2 Accent 1" w:uiPriority="68" w:qFormat="1"/>
    <w:lsdException w:name="Medium Grid 3 Accent 1" w:uiPriority="69" w:qFormat="1"/>
    <w:lsdException w:name="Dark List Accent 1" w:uiPriority="70" w:qFormat="1"/>
    <w:lsdException w:name="Colorful Shading Accent 1" w:uiPriority="71" w:qFormat="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 w:qFormat="1"/>
    <w:lsdException w:name="Medium Grid 2 Accent 2" w:uiPriority="68" w:qFormat="1"/>
    <w:lsdException w:name="Medium Grid 3 Accent 2" w:uiPriority="69" w:qFormat="1"/>
    <w:lsdException w:name="Dark List Accent 2" w:uiPriority="70" w:qFormat="1"/>
    <w:lsdException w:name="Colorful Shading Accent 2" w:uiPriority="71" w:qFormat="1"/>
    <w:lsdException w:name="Colorful List Accent 2" w:uiPriority="72" w:qFormat="1"/>
    <w:lsdException w:name="Colorful Grid Accent 2" w:uiPriority="73" w:qFormat="1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 w:qFormat="1"/>
    <w:lsdException w:name="Medium Grid 1 Accent 3" w:uiPriority="67" w:qFormat="1"/>
    <w:lsdException w:name="Medium Grid 2 Accent 3" w:uiPriority="68" w:qFormat="1"/>
    <w:lsdException w:name="Medium Grid 3 Accent 3" w:uiPriority="69" w:qFormat="1"/>
    <w:lsdException w:name="Dark List Accent 3" w:uiPriority="70" w:qFormat="1"/>
    <w:lsdException w:name="Colorful Shading Accent 3" w:uiPriority="71" w:qFormat="1"/>
    <w:lsdException w:name="Colorful List Accent 3" w:uiPriority="72" w:qFormat="1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 w:qFormat="1"/>
    <w:lsdException w:name="Medium Grid 2 Accent 4" w:uiPriority="68" w:qFormat="1"/>
    <w:lsdException w:name="Medium Grid 3 Accent 4" w:uiPriority="69" w:qFormat="1"/>
    <w:lsdException w:name="Dark List Accent 4" w:uiPriority="70" w:qFormat="1"/>
    <w:lsdException w:name="Colorful Shading Accent 4" w:uiPriority="71" w:qFormat="1"/>
    <w:lsdException w:name="Colorful List Accent 4" w:uiPriority="72" w:qFormat="1"/>
    <w:lsdException w:name="Colorful Grid Accent 4" w:uiPriority="73" w:qFormat="1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 w:qFormat="1"/>
    <w:lsdException w:name="Medium Grid 1 Accent 5" w:uiPriority="67" w:qFormat="1"/>
    <w:lsdException w:name="Medium Grid 2 Accent 5" w:uiPriority="68" w:qFormat="1"/>
    <w:lsdException w:name="Medium Grid 3 Accent 5" w:uiPriority="69" w:qFormat="1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 w:qFormat="1"/>
    <w:lsdException w:name="Colorful Shading Accent 6" w:uiPriority="71" w:qFormat="1"/>
    <w:lsdException w:name="Colorful List Accent 6" w:uiPriority="72" w:qFormat="1"/>
    <w:lsdException w:name="Colorful Grid Accent 6" w:uiPriority="73" w:qFormat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spacing w:after="200" w:line="560" w:lineRule="exact"/>
      <w:ind w:firstLine="640"/>
    </w:pPr>
    <w:rPr>
      <w:rFonts w:ascii="仿宋_GB2312" w:eastAsia="仿宋_GB2312" w:hAnsi="仿宋_GB2312"/>
      <w:sz w:val="32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paragraph" w:styleId="33">
    <w:name w:val="List 3"/>
    <w:basedOn w:val="a1"/>
    <w:uiPriority w:val="99"/>
    <w:unhideWhenUsed/>
    <w:qFormat/>
    <w:pPr>
      <w:ind w:left="1080" w:hanging="360"/>
      <w:contextualSpacing/>
    </w:pPr>
  </w:style>
  <w:style w:type="paragraph" w:styleId="2">
    <w:name w:val="List Number 2"/>
    <w:basedOn w:val="a1"/>
    <w:uiPriority w:val="99"/>
    <w:unhideWhenUsed/>
    <w:qFormat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qFormat/>
    <w:pPr>
      <w:numPr>
        <w:numId w:val="2"/>
      </w:numPr>
      <w:contextualSpacing/>
    </w:pPr>
  </w:style>
  <w:style w:type="paragraph" w:styleId="a7">
    <w:name w:val="caption"/>
    <w:basedOn w:val="a1"/>
    <w:next w:val="a1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0">
    <w:name w:val="List Bullet"/>
    <w:basedOn w:val="a1"/>
    <w:uiPriority w:val="99"/>
    <w:unhideWhenUsed/>
    <w:qFormat/>
    <w:pPr>
      <w:numPr>
        <w:numId w:val="3"/>
      </w:numPr>
      <w:contextualSpacing/>
    </w:pPr>
  </w:style>
  <w:style w:type="paragraph" w:styleId="34">
    <w:name w:val="Body Text 3"/>
    <w:basedOn w:val="a1"/>
    <w:link w:val="35"/>
    <w:uiPriority w:val="99"/>
    <w:unhideWhenUsed/>
    <w:qFormat/>
    <w:pPr>
      <w:spacing w:after="120"/>
    </w:pPr>
    <w:rPr>
      <w:sz w:val="16"/>
      <w:szCs w:val="16"/>
    </w:rPr>
  </w:style>
  <w:style w:type="paragraph" w:styleId="30">
    <w:name w:val="List Bullet 3"/>
    <w:basedOn w:val="a1"/>
    <w:uiPriority w:val="99"/>
    <w:unhideWhenUsed/>
    <w:qFormat/>
    <w:pPr>
      <w:numPr>
        <w:numId w:val="4"/>
      </w:numPr>
      <w:contextualSpacing/>
    </w:pPr>
  </w:style>
  <w:style w:type="paragraph" w:styleId="a8">
    <w:name w:val="Body Text"/>
    <w:basedOn w:val="a1"/>
    <w:link w:val="a9"/>
    <w:uiPriority w:val="99"/>
    <w:unhideWhenUsed/>
    <w:qFormat/>
    <w:pPr>
      <w:spacing w:after="120"/>
    </w:pPr>
  </w:style>
  <w:style w:type="paragraph" w:styleId="3">
    <w:name w:val="List Number 3"/>
    <w:basedOn w:val="a1"/>
    <w:uiPriority w:val="99"/>
    <w:unhideWhenUsed/>
    <w:qFormat/>
    <w:pPr>
      <w:numPr>
        <w:numId w:val="5"/>
      </w:numPr>
      <w:contextualSpacing/>
    </w:pPr>
  </w:style>
  <w:style w:type="paragraph" w:styleId="23">
    <w:name w:val="List 2"/>
    <w:basedOn w:val="a1"/>
    <w:uiPriority w:val="99"/>
    <w:unhideWhenUsed/>
    <w:qFormat/>
    <w:pPr>
      <w:ind w:left="720" w:hanging="360"/>
      <w:contextualSpacing/>
    </w:pPr>
  </w:style>
  <w:style w:type="paragraph" w:styleId="aa">
    <w:name w:val="List Continue"/>
    <w:basedOn w:val="a1"/>
    <w:uiPriority w:val="99"/>
    <w:unhideWhenUsed/>
    <w:qFormat/>
    <w:pPr>
      <w:spacing w:after="120"/>
      <w:ind w:left="360"/>
      <w:contextualSpacing/>
    </w:pPr>
  </w:style>
  <w:style w:type="paragraph" w:styleId="20">
    <w:name w:val="List Bullet 2"/>
    <w:basedOn w:val="a1"/>
    <w:uiPriority w:val="99"/>
    <w:unhideWhenUsed/>
    <w:qFormat/>
    <w:pPr>
      <w:numPr>
        <w:numId w:val="6"/>
      </w:numPr>
      <w:contextualSpacing/>
    </w:p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d">
    <w:name w:val="header"/>
    <w:basedOn w:val="a1"/>
    <w:link w:val="ae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f">
    <w:name w:val="Subtitle"/>
    <w:basedOn w:val="a1"/>
    <w:next w:val="a1"/>
    <w:link w:val="af0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1">
    <w:name w:val="List"/>
    <w:basedOn w:val="a1"/>
    <w:uiPriority w:val="99"/>
    <w:unhideWhenUsed/>
    <w:qFormat/>
    <w:pPr>
      <w:ind w:left="360" w:hanging="360"/>
      <w:contextualSpacing/>
    </w:pPr>
  </w:style>
  <w:style w:type="paragraph" w:styleId="24">
    <w:name w:val="Body Text 2"/>
    <w:basedOn w:val="a1"/>
    <w:link w:val="25"/>
    <w:uiPriority w:val="99"/>
    <w:unhideWhenUsed/>
    <w:qFormat/>
    <w:pPr>
      <w:spacing w:after="120" w:line="480" w:lineRule="auto"/>
    </w:pPr>
  </w:style>
  <w:style w:type="paragraph" w:styleId="26">
    <w:name w:val="List Continue 2"/>
    <w:basedOn w:val="a1"/>
    <w:uiPriority w:val="99"/>
    <w:unhideWhenUsed/>
    <w:qFormat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qFormat/>
    <w:pPr>
      <w:spacing w:after="120"/>
      <w:ind w:left="1080"/>
      <w:contextualSpacing/>
    </w:pPr>
  </w:style>
  <w:style w:type="paragraph" w:styleId="af2">
    <w:name w:val="Title"/>
    <w:basedOn w:val="a1"/>
    <w:next w:val="a1"/>
    <w:link w:val="af3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f4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6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7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11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qFormat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qFormat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qFormat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qFormat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qFormat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qFormat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af8">
    <w:name w:val="Dark List"/>
    <w:basedOn w:val="a3"/>
    <w:uiPriority w:val="70"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qFormat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qFormat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qFormat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qFormat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9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qFormat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a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qFormat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qFormat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qFormat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qFormat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b">
    <w:name w:val="Colorful Grid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c">
    <w:name w:val="Strong"/>
    <w:basedOn w:val="a2"/>
    <w:uiPriority w:val="22"/>
    <w:qFormat/>
    <w:rPr>
      <w:b/>
      <w:bCs/>
    </w:rPr>
  </w:style>
  <w:style w:type="character" w:styleId="afd">
    <w:name w:val="Emphasis"/>
    <w:basedOn w:val="a2"/>
    <w:uiPriority w:val="20"/>
    <w:qFormat/>
    <w:rPr>
      <w:i/>
      <w:iCs/>
    </w:rPr>
  </w:style>
  <w:style w:type="character" w:customStyle="1" w:styleId="ae">
    <w:name w:val="页眉 字符"/>
    <w:basedOn w:val="a2"/>
    <w:link w:val="ad"/>
    <w:uiPriority w:val="99"/>
    <w:qFormat/>
  </w:style>
  <w:style w:type="character" w:customStyle="1" w:styleId="ac">
    <w:name w:val="页脚 字符"/>
    <w:basedOn w:val="a2"/>
    <w:link w:val="ab"/>
    <w:uiPriority w:val="99"/>
    <w:qFormat/>
  </w:style>
  <w:style w:type="paragraph" w:styleId="afe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标题 1 字符"/>
    <w:basedOn w:val="a2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f3">
    <w:name w:val="标题 字符"/>
    <w:basedOn w:val="a2"/>
    <w:link w:val="af2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0">
    <w:name w:val="副标题 字符"/>
    <w:basedOn w:val="a2"/>
    <w:link w:val="af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">
    <w:name w:val="List Paragraph"/>
    <w:basedOn w:val="a1"/>
    <w:uiPriority w:val="34"/>
    <w:qFormat/>
    <w:pPr>
      <w:ind w:left="720"/>
      <w:contextualSpacing/>
    </w:pPr>
  </w:style>
  <w:style w:type="character" w:customStyle="1" w:styleId="a9">
    <w:name w:val="正文文本 字符"/>
    <w:basedOn w:val="a2"/>
    <w:link w:val="a8"/>
    <w:uiPriority w:val="99"/>
    <w:qFormat/>
  </w:style>
  <w:style w:type="character" w:customStyle="1" w:styleId="25">
    <w:name w:val="正文文本 2 字符"/>
    <w:basedOn w:val="a2"/>
    <w:link w:val="24"/>
    <w:uiPriority w:val="99"/>
    <w:qFormat/>
  </w:style>
  <w:style w:type="character" w:customStyle="1" w:styleId="35">
    <w:name w:val="正文文本 3 字符"/>
    <w:basedOn w:val="a2"/>
    <w:link w:val="34"/>
    <w:uiPriority w:val="99"/>
    <w:qFormat/>
    <w:rPr>
      <w:sz w:val="16"/>
      <w:szCs w:val="16"/>
    </w:rPr>
  </w:style>
  <w:style w:type="character" w:customStyle="1" w:styleId="a6">
    <w:name w:val="宏文本 字符"/>
    <w:basedOn w:val="a2"/>
    <w:link w:val="a5"/>
    <w:uiPriority w:val="99"/>
    <w:qFormat/>
    <w:rPr>
      <w:rFonts w:ascii="Courier" w:hAnsi="Courier"/>
      <w:sz w:val="20"/>
      <w:szCs w:val="20"/>
    </w:rPr>
  </w:style>
  <w:style w:type="paragraph" w:styleId="aff0">
    <w:name w:val="Quote"/>
    <w:basedOn w:val="a1"/>
    <w:next w:val="a1"/>
    <w:link w:val="aff1"/>
    <w:uiPriority w:val="29"/>
    <w:qFormat/>
    <w:rPr>
      <w:i/>
      <w:iCs/>
      <w:color w:val="000000" w:themeColor="text1"/>
    </w:rPr>
  </w:style>
  <w:style w:type="character" w:customStyle="1" w:styleId="aff1">
    <w:name w:val="引用 字符"/>
    <w:basedOn w:val="a2"/>
    <w:link w:val="aff0"/>
    <w:uiPriority w:val="29"/>
    <w:qFormat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标题 6 字符"/>
    <w:basedOn w:val="a2"/>
    <w:link w:val="6"/>
    <w:uiPriority w:val="9"/>
    <w:semiHidden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标题 7 字符"/>
    <w:basedOn w:val="a2"/>
    <w:link w:val="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f2">
    <w:name w:val="Intense Quote"/>
    <w:basedOn w:val="a1"/>
    <w:next w:val="a1"/>
    <w:link w:val="aff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f3">
    <w:name w:val="明显引用 字符"/>
    <w:basedOn w:val="a2"/>
    <w:link w:val="aff2"/>
    <w:uiPriority w:val="30"/>
    <w:qFormat/>
    <w:rPr>
      <w:b/>
      <w:bCs/>
      <w:i/>
      <w:iCs/>
      <w:color w:val="4F81BD" w:themeColor="accent1"/>
    </w:rPr>
  </w:style>
  <w:style w:type="character" w:customStyle="1" w:styleId="14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5">
    <w:name w:val="明显强调1"/>
    <w:basedOn w:val="a2"/>
    <w:uiPriority w:val="21"/>
    <w:qFormat/>
    <w:rPr>
      <w:b/>
      <w:bCs/>
      <w:i/>
      <w:iCs/>
      <w:color w:val="4F81BD" w:themeColor="accent1"/>
    </w:rPr>
  </w:style>
  <w:style w:type="character" w:customStyle="1" w:styleId="16">
    <w:name w:val="不明显参考1"/>
    <w:basedOn w:val="a2"/>
    <w:uiPriority w:val="31"/>
    <w:qFormat/>
    <w:rPr>
      <w:smallCaps/>
      <w:color w:val="C0504D" w:themeColor="accent2"/>
      <w:u w:val="single"/>
    </w:rPr>
  </w:style>
  <w:style w:type="character" w:customStyle="1" w:styleId="17">
    <w:name w:val="明显参考1"/>
    <w:basedOn w:val="a2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8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">
    <w:name w:val="TOC 标题1"/>
    <w:basedOn w:val="1"/>
    <w:next w:val="a1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867</Words>
  <Characters>868</Characters>
  <Application>Microsoft Office Word</Application>
  <DocSecurity>0</DocSecurity>
  <Lines>45</Lines>
  <Paragraphs>46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邱媛</dc:creator>
  <cp:lastModifiedBy>weirong liu</cp:lastModifiedBy>
  <cp:revision>4</cp:revision>
  <dcterms:created xsi:type="dcterms:W3CDTF">2013-12-23T23:15:00Z</dcterms:created>
  <dcterms:modified xsi:type="dcterms:W3CDTF">2026-10-20T09:00:00Z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eyJoZGlkIjoiMTZhZjU3MWEzYzRmMTcyYzRiYzlkNDQ1YzlhYmNlMTIiLCJ1c2VySWQiOiI3NTU5MjE3NzUifQ==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4F0135C3E3EC412997D4526B72945A43_12</vt:lpwstr>
  </property>
</Properties>
</file>